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D936C7">
        <w:rPr>
          <w:rFonts w:asciiTheme="minorHAnsi" w:eastAsia="MS Mincho" w:hAnsiTheme="minorHAnsi" w:cs="Arial"/>
          <w:noProof w:val="0"/>
          <w:sz w:val="24"/>
          <w:szCs w:val="24"/>
        </w:rPr>
        <w:t>R4-1911321</w:t>
      </w:r>
      <w:bookmarkStart w:id="2" w:name="_GoBack"/>
      <w:bookmarkEnd w:id="2"/>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C0493E">
        <w:rPr>
          <w:rFonts w:cs="Arial"/>
          <w:b/>
          <w:bCs/>
        </w:rPr>
        <w:t>8.1.4</w:t>
      </w:r>
      <w:r w:rsidR="008F2DD9">
        <w:rPr>
          <w:rFonts w:cs="Arial"/>
          <w:b/>
          <w:bCs/>
        </w:rPr>
        <w:t>.3</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F44AC8" w:rsidRPr="00F44AC8">
        <w:rPr>
          <w:b/>
        </w:rPr>
        <w:t xml:space="preserve">RRC </w:t>
      </w:r>
      <w:r w:rsidR="001D5B8D">
        <w:rPr>
          <w:b/>
        </w:rPr>
        <w:t>r</w:t>
      </w:r>
      <w:r w:rsidR="00F44AC8" w:rsidRPr="00F44AC8">
        <w:rPr>
          <w:b/>
        </w:rPr>
        <w:t>e-</w:t>
      </w:r>
      <w:r w:rsidR="001D5B8D">
        <w:rPr>
          <w:b/>
        </w:rPr>
        <w:t>e</w:t>
      </w:r>
      <w:r w:rsidR="00F44AC8" w:rsidRPr="00F44AC8">
        <w:rPr>
          <w:b/>
        </w:rPr>
        <w:t>stablishment</w:t>
      </w:r>
      <w:r w:rsidR="00F44AC8">
        <w:rPr>
          <w:b/>
        </w:rPr>
        <w:t xml:space="preserve"> </w:t>
      </w:r>
      <w:r w:rsidR="0052593A">
        <w:rPr>
          <w:b/>
        </w:rPr>
        <w:t>requirement 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Default="0014336E" w:rsidP="001E3BD8">
      <w:pPr>
        <w:jc w:val="both"/>
      </w:pPr>
      <w:r>
        <w:t xml:space="preserve">In RAN4-92 meeting, </w:t>
      </w:r>
      <w:r w:rsidR="003330A1">
        <w:t>t</w:t>
      </w:r>
      <w:r w:rsidR="001E3BD8">
        <w:t>he</w:t>
      </w:r>
      <w:r w:rsidR="00617CB4">
        <w:t xml:space="preserve"> </w:t>
      </w:r>
      <w:r w:rsidR="001D5B8D">
        <w:t>RRC re-e</w:t>
      </w:r>
      <w:r w:rsidR="001D5B8D" w:rsidRPr="001D5B8D">
        <w:t>stablishment</w:t>
      </w:r>
      <w:r w:rsidR="001D5B8D">
        <w:rPr>
          <w:b/>
        </w:rPr>
        <w:t xml:space="preserve"> </w:t>
      </w:r>
      <w:r w:rsidR="001E3BD8">
        <w:t xml:space="preserve">requirements </w:t>
      </w:r>
      <w:r>
        <w:t>for NR-U have been provided in the WF</w:t>
      </w:r>
      <w:r w:rsidR="001E3BD8">
        <w:t xml:space="preserve"> [1]</w:t>
      </w:r>
      <w:r w:rsidR="006734ED">
        <w:t xml:space="preserve">. In this paper, </w:t>
      </w:r>
      <w:r w:rsidR="00ED40C1">
        <w:t xml:space="preserve">it </w:t>
      </w:r>
      <w:r w:rsidR="001D5B8D">
        <w:t>further discusses the</w:t>
      </w:r>
      <w:r w:rsidR="00617CB4">
        <w:t xml:space="preserve"> requirement</w:t>
      </w:r>
      <w:r w:rsidR="003330A1">
        <w:t>s</w:t>
      </w:r>
      <w:r w:rsidR="006734ED">
        <w:rPr>
          <w:lang w:val="en-GB"/>
        </w:rPr>
        <w:t>.</w:t>
      </w:r>
      <w:r w:rsidR="006734ED" w:rsidRPr="006734ED">
        <w:rPr>
          <w:lang w:val="en-GB"/>
        </w:rPr>
        <w:t xml:space="preserve"> </w:t>
      </w:r>
      <w:r w:rsidR="001E3BD8">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1D5B8D" w:rsidRDefault="00503088" w:rsidP="00F87B6C">
      <w:pPr>
        <w:jc w:val="both"/>
        <w:rPr>
          <w:lang w:eastAsia="ko-KR"/>
        </w:rPr>
      </w:pPr>
      <w:r w:rsidRPr="00BE78B0">
        <w:rPr>
          <w:lang w:eastAsia="ko-KR"/>
        </w:rPr>
        <w:t>The</w:t>
      </w:r>
      <w:r>
        <w:rPr>
          <w:lang w:eastAsia="ko-KR"/>
        </w:rPr>
        <w:t xml:space="preserve"> NR</w:t>
      </w:r>
      <w:r w:rsidRPr="00BE78B0">
        <w:rPr>
          <w:lang w:eastAsia="ko-KR"/>
        </w:rPr>
        <w:t xml:space="preserve"> UE re-establishment delay</w:t>
      </w:r>
      <w:r>
        <w:rPr>
          <w:lang w:eastAsia="ko-KR"/>
        </w:rPr>
        <w:t xml:space="preserve"> </w:t>
      </w:r>
      <w:r w:rsidRPr="00BE78B0">
        <w:rPr>
          <w:lang w:eastAsia="ko-KR"/>
        </w:rPr>
        <w:t>requirement</w:t>
      </w:r>
      <w:r>
        <w:rPr>
          <w:lang w:eastAsia="ko-KR"/>
        </w:rPr>
        <w:t xml:space="preserve"> is provided [2] as </w:t>
      </w:r>
    </w:p>
    <w:p w:rsidR="005C18F2" w:rsidRDefault="005C18F2" w:rsidP="00F87B6C">
      <w:pPr>
        <w:jc w:val="both"/>
      </w:pPr>
    </w:p>
    <w:p w:rsidR="00503088" w:rsidRPr="00BE78B0" w:rsidRDefault="00D936C7" w:rsidP="00503088">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5B8D" w:rsidRDefault="001D5B8D" w:rsidP="00F87B6C">
      <w:pPr>
        <w:jc w:val="both"/>
      </w:pPr>
    </w:p>
    <w:p w:rsidR="00896EC6" w:rsidRDefault="005C18F2" w:rsidP="00245A67">
      <w:pPr>
        <w:jc w:val="both"/>
      </w:pPr>
      <w:r>
        <w:t xml:space="preserve">where the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oMath>
      <w:r>
        <w:rPr>
          <w:lang w:eastAsia="ko-KR"/>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identify_inter_NR,i</m:t>
            </m:r>
          </m:sub>
        </m:sSub>
      </m:oMath>
      <w:r>
        <w:t xml:space="preserve"> are </w:t>
      </w:r>
      <w:r w:rsidR="00245A67">
        <w:t xml:space="preserve">provided per target cell and extended according to the </w:t>
      </w:r>
      <w:r w:rsidR="00245A67" w:rsidRPr="00245A67">
        <w:t>number of DMTC cycles not available at the UE</w:t>
      </w:r>
      <w:r w:rsidR="00245A67">
        <w:t xml:space="preserve">. </w:t>
      </w:r>
    </w:p>
    <w:p w:rsidR="005C18F2" w:rsidRPr="003D6EFC" w:rsidRDefault="00245A67" w:rsidP="00F87B6C">
      <w:pPr>
        <w:jc w:val="both"/>
        <w:rPr>
          <w:rFonts w:ascii="Calibri" w:eastAsia="SimSun" w:hAnsi="Calibri" w:cs="Arial"/>
          <w:b/>
          <w:bCs/>
        </w:rPr>
      </w:pPr>
      <w:bookmarkStart w:id="3" w:name="_Ref20995462"/>
      <w:r w:rsidRPr="00FC02EE">
        <w:rPr>
          <w:rFonts w:ascii="Calibri" w:eastAsia="SimSun" w:hAnsi="Calibri" w:cs="Arial"/>
          <w:b/>
          <w:bCs/>
        </w:rPr>
        <w:t xml:space="preserve">Observation </w:t>
      </w:r>
      <w:r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Pr="00FC02EE">
        <w:rPr>
          <w:rFonts w:ascii="Calibri" w:eastAsia="SimSun" w:hAnsi="Calibri" w:cs="Arial"/>
          <w:b/>
          <w:bCs/>
        </w:rPr>
        <w:fldChar w:fldCharType="separate"/>
      </w:r>
      <w:r w:rsidR="00574F43">
        <w:rPr>
          <w:rFonts w:ascii="Calibri" w:eastAsia="SimSun" w:hAnsi="Calibri" w:cs="Arial"/>
          <w:b/>
          <w:bCs/>
          <w:noProof/>
        </w:rPr>
        <w:t>1</w:t>
      </w:r>
      <w:r w:rsidRPr="00FC02EE">
        <w:rPr>
          <w:rFonts w:ascii="Calibri" w:eastAsia="SimSun" w:hAnsi="Calibri" w:cs="Arial"/>
          <w:b/>
          <w:bCs/>
        </w:rPr>
        <w:fldChar w:fldCharType="end"/>
      </w:r>
      <w:r w:rsidRPr="00FC02EE">
        <w:rPr>
          <w:rFonts w:ascii="Calibri" w:eastAsia="SimSun" w:hAnsi="Calibri" w:cs="Arial"/>
          <w:b/>
          <w:bCs/>
        </w:rPr>
        <w:t xml:space="preserve">: </w:t>
      </w:r>
      <w:r w:rsidRPr="00245A67">
        <w:rPr>
          <w:b/>
        </w:rPr>
        <w:t xml:space="preserve">the number of DMTC cycles not available at the UE is cell-specific, and </w:t>
      </w:r>
      <w:r>
        <w:rPr>
          <w:b/>
        </w:rPr>
        <w:t xml:space="preserve">the </w:t>
      </w:r>
      <w:r w:rsidRPr="00245A67">
        <w:rPr>
          <w:b/>
          <w:i/>
        </w:rPr>
        <w:t>T</w:t>
      </w:r>
      <w:r w:rsidRPr="00245A67">
        <w:rPr>
          <w:b/>
          <w:i/>
          <w:vertAlign w:val="subscript"/>
        </w:rPr>
        <w:t>identify_intra_NR</w:t>
      </w:r>
      <w:r>
        <w:rPr>
          <w:rFonts w:ascii="Calibri" w:eastAsia="SimSun" w:hAnsi="Calibri" w:cs="Arial"/>
          <w:b/>
          <w:bCs/>
        </w:rPr>
        <w:t xml:space="preserve"> and </w:t>
      </w:r>
      <w:r w:rsidRPr="00245A67">
        <w:rPr>
          <w:b/>
          <w:i/>
        </w:rPr>
        <w:t>T</w:t>
      </w:r>
      <w:r>
        <w:rPr>
          <w:b/>
          <w:i/>
          <w:vertAlign w:val="subscript"/>
        </w:rPr>
        <w:t>identify_inter</w:t>
      </w:r>
      <w:r w:rsidRPr="00245A67">
        <w:rPr>
          <w:b/>
          <w:i/>
          <w:vertAlign w:val="subscript"/>
        </w:rPr>
        <w:t>_NR</w:t>
      </w:r>
      <w:r>
        <w:rPr>
          <w:b/>
          <w:i/>
          <w:vertAlign w:val="subscript"/>
        </w:rPr>
        <w:t>,i</w:t>
      </w:r>
      <w:r>
        <w:rPr>
          <w:rFonts w:ascii="Calibri" w:eastAsia="SimSun" w:hAnsi="Calibri" w:cs="Arial"/>
          <w:b/>
          <w:bCs/>
        </w:rPr>
        <w:t xml:space="preserve"> are also </w:t>
      </w:r>
      <w:r w:rsidRPr="00245A67">
        <w:rPr>
          <w:b/>
        </w:rPr>
        <w:t>cell-specific</w:t>
      </w:r>
      <w:r>
        <w:rPr>
          <w:b/>
        </w:rPr>
        <w:t>.</w:t>
      </w:r>
      <w:bookmarkEnd w:id="3"/>
    </w:p>
    <w:p w:rsidR="00AD4A79" w:rsidRDefault="00AD4A79" w:rsidP="00F87B6C">
      <w:pPr>
        <w:jc w:val="both"/>
      </w:pPr>
      <w:r>
        <w:t xml:space="preserve">For </w:t>
      </w:r>
      <w:r w:rsidRPr="00BE78B0">
        <w:rPr>
          <w:lang w:eastAsia="ko-KR"/>
        </w:rPr>
        <w:t>re-establishment</w:t>
      </w:r>
      <w:r>
        <w:rPr>
          <w:lang w:eastAsia="ko-KR"/>
        </w:rPr>
        <w:t xml:space="preserve">, UE would search for cells on a given carrier, and it </w:t>
      </w:r>
      <w:r w:rsidR="00245A67">
        <w:rPr>
          <w:lang w:eastAsia="ko-KR"/>
        </w:rPr>
        <w:t xml:space="preserve">is </w:t>
      </w:r>
      <w:r>
        <w:rPr>
          <w:lang w:eastAsia="ko-KR"/>
        </w:rPr>
        <w:t xml:space="preserve">up to </w:t>
      </w:r>
      <w:r>
        <w:t xml:space="preserve">UE to choose which cell to camp on. </w:t>
      </w:r>
      <w:r w:rsidR="003D6EFC">
        <w:t xml:space="preserve">Therefore, since the target cell on a carrier is selected by UE, the delay on a carrier will be up to UE, and the eventual </w:t>
      </w:r>
      <w:r w:rsidR="003D6EFC" w:rsidRPr="00BE78B0">
        <w:rPr>
          <w:lang w:eastAsia="ko-KR"/>
        </w:rPr>
        <w:t xml:space="preserve">re-establishment </w:t>
      </w:r>
      <w:r w:rsidR="003D6EFC">
        <w:t xml:space="preserve">delay will be also up to UE, </w:t>
      </w:r>
      <w:r w:rsidR="00896EC6">
        <w:t>as long as</w:t>
      </w:r>
      <w:r w:rsidR="003D6EFC">
        <w:t xml:space="preserve"> the delay is still within the upper limit.   </w:t>
      </w:r>
    </w:p>
    <w:p w:rsidR="00245A67" w:rsidRPr="00896EC6" w:rsidRDefault="00896EC6" w:rsidP="00896EC6">
      <w:pPr>
        <w:jc w:val="both"/>
        <w:rPr>
          <w:rFonts w:ascii="Calibri" w:eastAsia="SimSun" w:hAnsi="Calibri" w:cs="Arial"/>
          <w:b/>
          <w:bCs/>
        </w:rPr>
      </w:pPr>
      <w:bookmarkStart w:id="4" w:name="_Ref20995465"/>
      <w:bookmarkStart w:id="5" w:name="_Ref16848977"/>
      <w:bookmarkStart w:id="6" w:name="_Ref20989085"/>
      <w:r w:rsidRPr="00FC02EE">
        <w:rPr>
          <w:rFonts w:ascii="Calibri" w:eastAsia="SimSun" w:hAnsi="Calibri" w:cs="Arial"/>
          <w:b/>
          <w:bCs/>
        </w:rPr>
        <w:t xml:space="preserve">Observation </w:t>
      </w:r>
      <w:r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Pr="00FC02EE">
        <w:rPr>
          <w:rFonts w:ascii="Calibri" w:eastAsia="SimSun" w:hAnsi="Calibri" w:cs="Arial"/>
          <w:b/>
          <w:bCs/>
        </w:rPr>
        <w:fldChar w:fldCharType="separate"/>
      </w:r>
      <w:r w:rsidR="00574F43">
        <w:rPr>
          <w:rFonts w:ascii="Calibri" w:eastAsia="SimSun" w:hAnsi="Calibri" w:cs="Arial"/>
          <w:b/>
          <w:bCs/>
          <w:noProof/>
        </w:rPr>
        <w:t>2</w:t>
      </w:r>
      <w:r w:rsidRPr="00FC02EE">
        <w:rPr>
          <w:rFonts w:ascii="Calibri" w:eastAsia="SimSun" w:hAnsi="Calibri" w:cs="Arial"/>
          <w:b/>
          <w:bCs/>
        </w:rPr>
        <w:fldChar w:fldCharType="end"/>
      </w:r>
      <w:r w:rsidRPr="00FC02EE">
        <w:rPr>
          <w:rFonts w:ascii="Calibri" w:eastAsia="SimSun" w:hAnsi="Calibri" w:cs="Arial"/>
          <w:b/>
          <w:bCs/>
        </w:rPr>
        <w:t xml:space="preserve">: </w:t>
      </w:r>
      <w:r w:rsidRPr="00896EC6">
        <w:rPr>
          <w:b/>
          <w:lang w:eastAsia="ko-KR"/>
        </w:rPr>
        <w:t xml:space="preserve">Re-establishment </w:t>
      </w:r>
      <w:r w:rsidRPr="00896EC6">
        <w:rPr>
          <w:b/>
        </w:rPr>
        <w:t>delay will depend on the target cell selected by the UE</w:t>
      </w:r>
      <w:r>
        <w:rPr>
          <w:b/>
        </w:rPr>
        <w:t>.</w:t>
      </w:r>
      <w:bookmarkEnd w:id="4"/>
    </w:p>
    <w:p w:rsidR="00896EC6" w:rsidRPr="00896EC6" w:rsidRDefault="002146AA" w:rsidP="00896EC6">
      <w:pPr>
        <w:pStyle w:val="af1"/>
        <w:jc w:val="both"/>
        <w:rPr>
          <w:rFonts w:ascii="Calibri" w:eastAsia="SimSun" w:hAnsi="Calibri" w:cs="Arial"/>
          <w:bCs/>
          <w:sz w:val="22"/>
          <w:szCs w:val="22"/>
        </w:rPr>
      </w:pPr>
      <w:bookmarkStart w:id="7" w:name="_Ref20995469"/>
      <w:r w:rsidRPr="0057782F">
        <w:rPr>
          <w:rFonts w:ascii="Calibri" w:eastAsia="SimSun" w:hAnsi="Calibri" w:cs="Arial"/>
          <w:bCs/>
          <w:sz w:val="22"/>
          <w:szCs w:val="22"/>
        </w:rPr>
        <w:t xml:space="preserve">Proposal </w:t>
      </w:r>
      <w:r w:rsidR="00F640BB"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00F640BB" w:rsidRPr="0057782F">
        <w:rPr>
          <w:rFonts w:ascii="Calibri" w:eastAsia="SimSun" w:hAnsi="Calibri" w:cs="Arial"/>
          <w:bCs/>
          <w:sz w:val="22"/>
          <w:szCs w:val="22"/>
        </w:rPr>
        <w:fldChar w:fldCharType="separate"/>
      </w:r>
      <w:r w:rsidR="00574F43">
        <w:rPr>
          <w:rFonts w:ascii="Calibri" w:eastAsia="SimSun" w:hAnsi="Calibri" w:cs="Arial"/>
          <w:bCs/>
          <w:noProof/>
          <w:sz w:val="22"/>
          <w:szCs w:val="22"/>
        </w:rPr>
        <w:t>1</w:t>
      </w:r>
      <w:r w:rsidR="00F640BB"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bookmarkEnd w:id="5"/>
      <w:bookmarkEnd w:id="6"/>
      <w:r w:rsidR="00896EC6" w:rsidRPr="00896EC6">
        <w:rPr>
          <w:sz w:val="22"/>
          <w:szCs w:val="22"/>
          <w:lang w:eastAsia="ko-KR"/>
        </w:rPr>
        <w:t>When the re-establishment</w:t>
      </w:r>
      <w:r w:rsidR="00896EC6" w:rsidRPr="00896EC6">
        <w:rPr>
          <w:b w:val="0"/>
          <w:lang w:eastAsia="ko-KR"/>
        </w:rPr>
        <w:t xml:space="preserve"> </w:t>
      </w:r>
      <w:r w:rsidR="00896EC6" w:rsidRPr="00896EC6">
        <w:rPr>
          <w:sz w:val="22"/>
          <w:szCs w:val="22"/>
          <w:lang w:eastAsia="ko-KR"/>
        </w:rPr>
        <w:t xml:space="preserve">delay is within the upper limit, it is up to UE to </w:t>
      </w:r>
      <w:r w:rsidR="00896EC6">
        <w:rPr>
          <w:sz w:val="22"/>
          <w:szCs w:val="22"/>
          <w:lang w:eastAsia="ko-KR"/>
        </w:rPr>
        <w:t>select</w:t>
      </w:r>
      <w:r w:rsidR="00896EC6" w:rsidRPr="00896EC6">
        <w:rPr>
          <w:sz w:val="22"/>
          <w:szCs w:val="22"/>
          <w:lang w:eastAsia="ko-KR"/>
        </w:rPr>
        <w:t xml:space="preserve"> which cell to camp on</w:t>
      </w:r>
      <w:r w:rsidR="00896EC6">
        <w:rPr>
          <w:sz w:val="22"/>
          <w:szCs w:val="22"/>
          <w:lang w:eastAsia="ko-KR"/>
        </w:rPr>
        <w:t>.</w:t>
      </w:r>
      <w:bookmarkEnd w:id="7"/>
    </w:p>
    <w:p w:rsidR="00896EC6" w:rsidRDefault="00896EC6">
      <w:pPr>
        <w:spacing w:after="0" w:line="240" w:lineRule="auto"/>
        <w:rPr>
          <w:rFonts w:ascii="Calibri" w:eastAsia="SimSun" w:hAnsi="Calibri" w:cs="Times New Roman"/>
          <w:sz w:val="36"/>
          <w:szCs w:val="20"/>
          <w:lang w:val="en-GB" w:eastAsia="en-US"/>
        </w:rPr>
      </w:pPr>
      <w:r>
        <w:rPr>
          <w:rFonts w:ascii="Calibri" w:hAnsi="Calibri"/>
        </w:rPr>
        <w:br w:type="page"/>
      </w:r>
    </w:p>
    <w:p w:rsidR="00CE0D5E" w:rsidRPr="000C45FD" w:rsidRDefault="00141644" w:rsidP="00CE0D5E">
      <w:pPr>
        <w:pStyle w:val="1"/>
        <w:numPr>
          <w:ilvl w:val="0"/>
          <w:numId w:val="2"/>
        </w:numPr>
        <w:rPr>
          <w:rFonts w:ascii="Calibri" w:hAnsi="Calibri"/>
          <w:lang w:eastAsia="zh-CN"/>
        </w:rPr>
      </w:pPr>
      <w:r>
        <w:rPr>
          <w:rFonts w:ascii="Calibri" w:hAnsi="Calibri"/>
        </w:rPr>
        <w:lastRenderedPageBreak/>
        <w:t>Summary</w:t>
      </w:r>
    </w:p>
    <w:p w:rsidR="00687081" w:rsidRDefault="006F7557" w:rsidP="001E7AC0">
      <w:pPr>
        <w:adjustRightInd w:val="0"/>
        <w:snapToGrid w:val="0"/>
        <w:spacing w:before="180" w:after="120"/>
        <w:jc w:val="both"/>
      </w:pPr>
      <w:r w:rsidRPr="002D717F">
        <w:rPr>
          <w:rFonts w:hint="eastAsia"/>
        </w:rPr>
        <w:t xml:space="preserve">In this </w:t>
      </w:r>
      <w:r w:rsidRPr="002D717F">
        <w:t>paper,</w:t>
      </w:r>
      <w:r w:rsidR="00FB24ED" w:rsidRPr="002D717F">
        <w:rPr>
          <w:rFonts w:hint="eastAsia"/>
        </w:rPr>
        <w:t xml:space="preserve"> </w:t>
      </w:r>
      <w:r w:rsidR="00896EC6">
        <w:t>the RRC re-e</w:t>
      </w:r>
      <w:r w:rsidR="00896EC6" w:rsidRPr="001D5B8D">
        <w:t>stablishment</w:t>
      </w:r>
      <w:r w:rsidR="00896EC6">
        <w:rPr>
          <w:b/>
        </w:rPr>
        <w:t xml:space="preserve"> </w:t>
      </w:r>
      <w:r w:rsidR="00896EC6">
        <w:t xml:space="preserve">requirements </w:t>
      </w:r>
      <w:r w:rsidR="002D717F" w:rsidRPr="002D717F">
        <w:t>for NR-U</w:t>
      </w:r>
      <w:r w:rsidR="002D717F" w:rsidRPr="002D717F">
        <w:rPr>
          <w:szCs w:val="20"/>
        </w:rPr>
        <w:t xml:space="preserve"> has been</w:t>
      </w:r>
      <w:r w:rsidR="00660B4F" w:rsidRPr="002D717F">
        <w:rPr>
          <w:szCs w:val="20"/>
        </w:rPr>
        <w:t xml:space="preserve"> discussed</w:t>
      </w:r>
      <w:r w:rsidR="000D3205" w:rsidRPr="002D717F">
        <w:t>. We have the following observations and proposals</w:t>
      </w:r>
      <w:r w:rsidR="007E7E51" w:rsidRPr="002D717F">
        <w:t>:</w:t>
      </w:r>
    </w:p>
    <w:p w:rsidR="00896EC6" w:rsidRDefault="00896EC6" w:rsidP="001E7AC0">
      <w:pPr>
        <w:adjustRightInd w:val="0"/>
        <w:snapToGrid w:val="0"/>
        <w:spacing w:before="180" w:after="120"/>
        <w:jc w:val="both"/>
      </w:pPr>
      <w:r>
        <w:fldChar w:fldCharType="begin"/>
      </w:r>
      <w:r>
        <w:instrText xml:space="preserve"> REF _Ref20995462 \h </w:instrText>
      </w:r>
      <w:r>
        <w:fldChar w:fldCharType="separate"/>
      </w:r>
      <w:r w:rsidR="00574F43" w:rsidRPr="00FC02EE">
        <w:rPr>
          <w:rFonts w:ascii="Calibri" w:eastAsia="SimSun" w:hAnsi="Calibri" w:cs="Arial"/>
          <w:b/>
          <w:bCs/>
        </w:rPr>
        <w:t xml:space="preserve">Observation </w:t>
      </w:r>
      <w:r w:rsidR="00574F43">
        <w:rPr>
          <w:rFonts w:ascii="Calibri" w:eastAsia="SimSun" w:hAnsi="Calibri" w:cs="Arial"/>
          <w:b/>
          <w:bCs/>
          <w:noProof/>
        </w:rPr>
        <w:t>1</w:t>
      </w:r>
      <w:r w:rsidR="00574F43" w:rsidRPr="00FC02EE">
        <w:rPr>
          <w:rFonts w:ascii="Calibri" w:eastAsia="SimSun" w:hAnsi="Calibri" w:cs="Arial"/>
          <w:b/>
          <w:bCs/>
        </w:rPr>
        <w:t xml:space="preserve">: </w:t>
      </w:r>
      <w:r w:rsidR="00574F43" w:rsidRPr="00245A67">
        <w:rPr>
          <w:b/>
        </w:rPr>
        <w:t xml:space="preserve">the number of DMTC cycles not available at the UE is cell-specific, and </w:t>
      </w:r>
      <w:r w:rsidR="00574F43">
        <w:rPr>
          <w:b/>
        </w:rPr>
        <w:t xml:space="preserve">the </w:t>
      </w:r>
      <w:r w:rsidR="00574F43" w:rsidRPr="00245A67">
        <w:rPr>
          <w:b/>
          <w:i/>
        </w:rPr>
        <w:t>T</w:t>
      </w:r>
      <w:r w:rsidR="00574F43" w:rsidRPr="00245A67">
        <w:rPr>
          <w:b/>
          <w:i/>
          <w:vertAlign w:val="subscript"/>
        </w:rPr>
        <w:t>identify_intra_NR</w:t>
      </w:r>
      <w:r w:rsidR="00574F43">
        <w:rPr>
          <w:rFonts w:ascii="Calibri" w:eastAsia="SimSun" w:hAnsi="Calibri" w:cs="Arial"/>
          <w:b/>
          <w:bCs/>
        </w:rPr>
        <w:t xml:space="preserve"> and </w:t>
      </w:r>
      <w:r w:rsidR="00574F43" w:rsidRPr="00245A67">
        <w:rPr>
          <w:b/>
          <w:i/>
        </w:rPr>
        <w:t>T</w:t>
      </w:r>
      <w:r w:rsidR="00574F43">
        <w:rPr>
          <w:b/>
          <w:i/>
          <w:vertAlign w:val="subscript"/>
        </w:rPr>
        <w:t>identify_inter</w:t>
      </w:r>
      <w:r w:rsidR="00574F43" w:rsidRPr="00245A67">
        <w:rPr>
          <w:b/>
          <w:i/>
          <w:vertAlign w:val="subscript"/>
        </w:rPr>
        <w:t>_NR</w:t>
      </w:r>
      <w:r w:rsidR="00574F43">
        <w:rPr>
          <w:b/>
          <w:i/>
          <w:vertAlign w:val="subscript"/>
        </w:rPr>
        <w:t>,i</w:t>
      </w:r>
      <w:r w:rsidR="00574F43">
        <w:rPr>
          <w:rFonts w:ascii="Calibri" w:eastAsia="SimSun" w:hAnsi="Calibri" w:cs="Arial"/>
          <w:b/>
          <w:bCs/>
        </w:rPr>
        <w:t xml:space="preserve"> are also </w:t>
      </w:r>
      <w:r w:rsidR="00574F43" w:rsidRPr="00245A67">
        <w:rPr>
          <w:b/>
        </w:rPr>
        <w:t>cell-specific</w:t>
      </w:r>
      <w:r w:rsidR="00574F43">
        <w:rPr>
          <w:b/>
        </w:rPr>
        <w:t>.</w:t>
      </w:r>
      <w:r>
        <w:fldChar w:fldCharType="end"/>
      </w:r>
    </w:p>
    <w:p w:rsidR="00896EC6" w:rsidRDefault="00896EC6" w:rsidP="001E7AC0">
      <w:pPr>
        <w:adjustRightInd w:val="0"/>
        <w:snapToGrid w:val="0"/>
        <w:spacing w:before="180" w:after="120"/>
        <w:jc w:val="both"/>
      </w:pPr>
      <w:r>
        <w:fldChar w:fldCharType="begin"/>
      </w:r>
      <w:r>
        <w:instrText xml:space="preserve"> REF _Ref20995465 \h </w:instrText>
      </w:r>
      <w:r>
        <w:fldChar w:fldCharType="separate"/>
      </w:r>
      <w:r w:rsidR="00574F43" w:rsidRPr="00FC02EE">
        <w:rPr>
          <w:rFonts w:ascii="Calibri" w:eastAsia="SimSun" w:hAnsi="Calibri" w:cs="Arial"/>
          <w:b/>
          <w:bCs/>
        </w:rPr>
        <w:t xml:space="preserve">Observation </w:t>
      </w:r>
      <w:r w:rsidR="00574F43">
        <w:rPr>
          <w:rFonts w:ascii="Calibri" w:eastAsia="SimSun" w:hAnsi="Calibri" w:cs="Arial"/>
          <w:b/>
          <w:bCs/>
          <w:noProof/>
        </w:rPr>
        <w:t>2</w:t>
      </w:r>
      <w:r w:rsidR="00574F43" w:rsidRPr="00FC02EE">
        <w:rPr>
          <w:rFonts w:ascii="Calibri" w:eastAsia="SimSun" w:hAnsi="Calibri" w:cs="Arial"/>
          <w:b/>
          <w:bCs/>
        </w:rPr>
        <w:t xml:space="preserve">: </w:t>
      </w:r>
      <w:r w:rsidR="00574F43" w:rsidRPr="00896EC6">
        <w:rPr>
          <w:b/>
          <w:lang w:eastAsia="ko-KR"/>
        </w:rPr>
        <w:t xml:space="preserve">Re-establishment </w:t>
      </w:r>
      <w:r w:rsidR="00574F43" w:rsidRPr="00896EC6">
        <w:rPr>
          <w:b/>
        </w:rPr>
        <w:t>delay will depend on the target cell selected by the UE</w:t>
      </w:r>
      <w:r w:rsidR="00574F43">
        <w:rPr>
          <w:b/>
        </w:rPr>
        <w:t>.</w:t>
      </w:r>
      <w:r>
        <w:fldChar w:fldCharType="end"/>
      </w:r>
    </w:p>
    <w:p w:rsidR="00896EC6" w:rsidRPr="00896EC6" w:rsidRDefault="00896EC6" w:rsidP="001E7AC0">
      <w:pPr>
        <w:adjustRightInd w:val="0"/>
        <w:snapToGrid w:val="0"/>
        <w:spacing w:before="180" w:after="120"/>
        <w:jc w:val="both"/>
        <w:rPr>
          <w:b/>
        </w:rPr>
      </w:pPr>
      <w:r w:rsidRPr="00896EC6">
        <w:rPr>
          <w:b/>
        </w:rPr>
        <w:fldChar w:fldCharType="begin"/>
      </w:r>
      <w:r w:rsidRPr="00896EC6">
        <w:rPr>
          <w:b/>
        </w:rPr>
        <w:instrText xml:space="preserve"> REF _Ref20995469 \h </w:instrText>
      </w:r>
      <w:r>
        <w:rPr>
          <w:b/>
        </w:rPr>
        <w:instrText xml:space="preserve"> \* MERGEFORMAT </w:instrText>
      </w:r>
      <w:r w:rsidRPr="00896EC6">
        <w:rPr>
          <w:b/>
        </w:rPr>
      </w:r>
      <w:r w:rsidRPr="00896EC6">
        <w:rPr>
          <w:b/>
        </w:rPr>
        <w:fldChar w:fldCharType="separate"/>
      </w:r>
      <w:r w:rsidR="00574F43" w:rsidRPr="00574F43">
        <w:rPr>
          <w:rFonts w:ascii="Calibri" w:eastAsia="SimSun" w:hAnsi="Calibri" w:cs="Arial"/>
          <w:b/>
          <w:bCs/>
        </w:rPr>
        <w:t xml:space="preserve">Proposal </w:t>
      </w:r>
      <w:r w:rsidR="00574F43" w:rsidRPr="00574F43">
        <w:rPr>
          <w:rFonts w:ascii="Calibri" w:eastAsia="SimSun" w:hAnsi="Calibri" w:cs="Arial"/>
          <w:b/>
          <w:bCs/>
          <w:noProof/>
        </w:rPr>
        <w:t>1</w:t>
      </w:r>
      <w:r w:rsidR="00574F43" w:rsidRPr="00574F43">
        <w:rPr>
          <w:rFonts w:ascii="Calibri" w:eastAsia="SimSun" w:hAnsi="Calibri" w:cs="Arial"/>
          <w:b/>
          <w:bCs/>
        </w:rPr>
        <w:t xml:space="preserve">: </w:t>
      </w:r>
      <w:r w:rsidR="00574F43" w:rsidRPr="00574F43">
        <w:rPr>
          <w:b/>
          <w:lang w:eastAsia="ko-KR"/>
        </w:rPr>
        <w:t>When the re-establishment delay is within the upper limit, it is up to UE to select which cell to camp on.</w:t>
      </w:r>
      <w:r w:rsidRPr="00896EC6">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A65E18" w:rsidRDefault="00A65E18" w:rsidP="00A65E18">
      <w:pPr>
        <w:rPr>
          <w:rFonts w:eastAsia="新細明體" w:cs="Calibri"/>
          <w:color w:val="0D0D0D"/>
        </w:rPr>
      </w:pPr>
      <w:r w:rsidRPr="00F54159">
        <w:rPr>
          <w:lang w:val="en-GB" w:eastAsia="en-US"/>
        </w:rPr>
        <w:t xml:space="preserve">[1] </w:t>
      </w:r>
      <w:r w:rsidR="006734ED" w:rsidRPr="006734ED">
        <w:rPr>
          <w:lang w:val="en-GB" w:eastAsia="en-US"/>
        </w:rPr>
        <w:t>R4-1909988</w:t>
      </w:r>
      <w:r w:rsidR="006734ED">
        <w:rPr>
          <w:rFonts w:eastAsia="新細明體" w:cs="Calibri"/>
          <w:color w:val="0D0D0D"/>
        </w:rPr>
        <w:t xml:space="preserve">, </w:t>
      </w:r>
      <w:r w:rsidR="006734ED" w:rsidRPr="006734ED">
        <w:rPr>
          <w:rFonts w:eastAsia="新細明體" w:cs="Calibri"/>
          <w:color w:val="0D0D0D"/>
        </w:rPr>
        <w:t>WF on RRM Requirements for NR-U</w:t>
      </w:r>
      <w:r w:rsidR="006734ED">
        <w:rPr>
          <w:rFonts w:eastAsia="新細明體" w:cs="Calibri"/>
          <w:color w:val="0D0D0D"/>
        </w:rPr>
        <w:t xml:space="preserve">, </w:t>
      </w:r>
      <w:r w:rsidR="006734ED" w:rsidRPr="006734ED">
        <w:rPr>
          <w:rFonts w:eastAsia="新細明體" w:cs="Calibri"/>
          <w:color w:val="0D0D0D"/>
        </w:rPr>
        <w:t>Ericsson</w:t>
      </w:r>
      <w:r w:rsidRPr="00F54159">
        <w:rPr>
          <w:rFonts w:eastAsia="新細明體" w:cs="Calibri"/>
          <w:color w:val="0D0D0D"/>
        </w:rPr>
        <w:t>.</w:t>
      </w:r>
    </w:p>
    <w:p w:rsidR="00C80529" w:rsidRPr="00896EC6" w:rsidRDefault="00E11270" w:rsidP="00D63646">
      <w:pPr>
        <w:rPr>
          <w:rFonts w:eastAsia="新細明體" w:cs="Calibri"/>
          <w:color w:val="0D0D0D"/>
        </w:rPr>
      </w:pPr>
      <w:r>
        <w:rPr>
          <w:rFonts w:eastAsia="新細明體" w:cs="Calibri"/>
          <w:color w:val="0D0D0D"/>
        </w:rPr>
        <w:t xml:space="preserve">[2] </w:t>
      </w:r>
      <w:r w:rsidRPr="00ED7C55">
        <w:rPr>
          <w:rFonts w:eastAsia="新細明體" w:cs="Calibri"/>
          <w:color w:val="0D0D0D"/>
        </w:rPr>
        <w:t xml:space="preserve">TS38.133, NR; Requirements for support of </w:t>
      </w:r>
      <w:r>
        <w:rPr>
          <w:rFonts w:eastAsia="新細明體" w:cs="Calibri"/>
          <w:color w:val="0D0D0D"/>
        </w:rPr>
        <w:t>radio resource management, V15.7</w:t>
      </w:r>
      <w:r w:rsidRPr="00ED7C55">
        <w:rPr>
          <w:rFonts w:eastAsia="新細明體" w:cs="Calibri"/>
          <w:color w:val="0D0D0D"/>
        </w:rPr>
        <w:t>.0.</w:t>
      </w:r>
    </w:p>
    <w:sectPr w:rsidR="00C80529" w:rsidRPr="00896EC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F72841"/>
    <w:multiLevelType w:val="hybridMultilevel"/>
    <w:tmpl w:val="DBCC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8"/>
  </w:num>
  <w:num w:numId="2">
    <w:abstractNumId w:val="40"/>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6"/>
  </w:num>
  <w:num w:numId="15">
    <w:abstractNumId w:val="15"/>
  </w:num>
  <w:num w:numId="16">
    <w:abstractNumId w:val="7"/>
  </w:num>
  <w:num w:numId="17">
    <w:abstractNumId w:val="32"/>
  </w:num>
  <w:num w:numId="18">
    <w:abstractNumId w:val="44"/>
  </w:num>
  <w:num w:numId="19">
    <w:abstractNumId w:val="20"/>
  </w:num>
  <w:num w:numId="20">
    <w:abstractNumId w:val="12"/>
  </w:num>
  <w:num w:numId="21">
    <w:abstractNumId w:val="43"/>
  </w:num>
  <w:num w:numId="22">
    <w:abstractNumId w:val="33"/>
  </w:num>
  <w:num w:numId="23">
    <w:abstractNumId w:val="10"/>
  </w:num>
  <w:num w:numId="24">
    <w:abstractNumId w:val="6"/>
  </w:num>
  <w:num w:numId="25">
    <w:abstractNumId w:val="25"/>
  </w:num>
  <w:num w:numId="26">
    <w:abstractNumId w:val="41"/>
  </w:num>
  <w:num w:numId="27">
    <w:abstractNumId w:val="31"/>
  </w:num>
  <w:num w:numId="28">
    <w:abstractNumId w:val="23"/>
  </w:num>
  <w:num w:numId="29">
    <w:abstractNumId w:val="24"/>
  </w:num>
  <w:num w:numId="30">
    <w:abstractNumId w:val="13"/>
  </w:num>
  <w:num w:numId="31">
    <w:abstractNumId w:val="37"/>
  </w:num>
  <w:num w:numId="32">
    <w:abstractNumId w:val="21"/>
  </w:num>
  <w:num w:numId="33">
    <w:abstractNumId w:val="3"/>
  </w:num>
  <w:num w:numId="34">
    <w:abstractNumId w:val="27"/>
  </w:num>
  <w:num w:numId="35">
    <w:abstractNumId w:val="47"/>
  </w:num>
  <w:num w:numId="36">
    <w:abstractNumId w:val="34"/>
  </w:num>
  <w:num w:numId="37">
    <w:abstractNumId w:val="45"/>
  </w:num>
  <w:num w:numId="38">
    <w:abstractNumId w:val="4"/>
  </w:num>
  <w:num w:numId="39">
    <w:abstractNumId w:val="11"/>
  </w:num>
  <w:num w:numId="40">
    <w:abstractNumId w:val="42"/>
  </w:num>
  <w:num w:numId="41">
    <w:abstractNumId w:val="29"/>
  </w:num>
  <w:num w:numId="42">
    <w:abstractNumId w:val="2"/>
  </w:num>
  <w:num w:numId="43">
    <w:abstractNumId w:val="14"/>
  </w:num>
  <w:num w:numId="44">
    <w:abstractNumId w:val="9"/>
  </w:num>
  <w:num w:numId="45">
    <w:abstractNumId w:val="39"/>
  </w:num>
  <w:num w:numId="46">
    <w:abstractNumId w:val="1"/>
  </w:num>
  <w:num w:numId="47">
    <w:abstractNumId w:val="30"/>
  </w:num>
  <w:num w:numId="48">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B8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A67"/>
    <w:rsid w:val="00245F29"/>
    <w:rsid w:val="002461D1"/>
    <w:rsid w:val="002462D2"/>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6EFC"/>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088"/>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4F43"/>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8F2"/>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6EC6"/>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2DD9"/>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7E6"/>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A79"/>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93E"/>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6C7"/>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270"/>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5AC7"/>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4AC8"/>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6C7"/>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936C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936C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EQChar">
    <w:name w:val="EQ Char"/>
    <w:link w:val="EQ"/>
    <w:locked/>
    <w:rsid w:val="0050308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2099857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93144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3E788-6711-4933-9559-4C1AB835E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